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D2F8" w14:textId="77777777" w:rsidR="006A720B" w:rsidRPr="006D7244" w:rsidRDefault="006A720B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  <w:r w:rsidRPr="006D7244">
        <w:rPr>
          <w:rFonts w:ascii="CIDFont+F4" w:hAnsi="CIDFont+F4" w:cs="CIDFont+F4"/>
          <w:b/>
          <w:bCs/>
          <w:sz w:val="32"/>
          <w:szCs w:val="32"/>
        </w:rPr>
        <w:t>1. BACKGROUND</w:t>
      </w:r>
    </w:p>
    <w:p w14:paraId="573A2A44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Biomass to Biochar Ltd. have a pyrolysis reactor for the conversion of organic materials into</w:t>
      </w:r>
    </w:p>
    <w:p w14:paraId="3813BC71" w14:textId="683115DD" w:rsidR="003F149B" w:rsidRDefault="006A720B" w:rsidP="003F149B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charcoal or for use as a, "biochar". There are some technical and operational issue with the unit</w:t>
      </w:r>
      <w:r w:rsidR="003F149B" w:rsidRPr="003F149B">
        <w:rPr>
          <w:rFonts w:ascii="CIDFont+F2" w:hAnsi="CIDFont+F2" w:cs="CIDFont+F2"/>
          <w:sz w:val="24"/>
          <w:szCs w:val="24"/>
        </w:rPr>
        <w:t xml:space="preserve"> </w:t>
      </w:r>
      <w:r w:rsidR="003F149B">
        <w:rPr>
          <w:rFonts w:ascii="CIDFont+F2" w:hAnsi="CIDFont+F2" w:cs="CIDFont+F2"/>
          <w:sz w:val="24"/>
          <w:szCs w:val="24"/>
        </w:rPr>
        <w:t>that require investigation and resolution.</w:t>
      </w:r>
    </w:p>
    <w:p w14:paraId="654B58D3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Biomass to Biochar Ltd. have requested that Conversion And Resource Evaluation Ltd.</w:t>
      </w:r>
    </w:p>
    <w:p w14:paraId="169B840D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[C.A.R.E. Ltd.] provide services of primary importance:</w:t>
      </w:r>
    </w:p>
    <w:p w14:paraId="6725A1B0" w14:textId="010615A6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5" w:eastAsia="CIDFont+F5" w:hAnsi="CIDFont+F4" w:cs="CIDFont+F5" w:hint="eastAsia"/>
          <w:sz w:val="24"/>
          <w:szCs w:val="24"/>
        </w:rPr>
        <w:t></w:t>
      </w:r>
      <w:r>
        <w:rPr>
          <w:rFonts w:ascii="CIDFont+F5" w:eastAsia="CIDFont+F5" w:hAnsi="CIDFont+F4" w:cs="CIDFont+F5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Review the pyrolysis uni</w:t>
      </w:r>
      <w:r w:rsidR="00145493">
        <w:rPr>
          <w:rFonts w:ascii="CIDFont+F2" w:hAnsi="CIDFont+F2" w:cs="CIDFont+F2"/>
          <w:sz w:val="24"/>
          <w:szCs w:val="24"/>
        </w:rPr>
        <w:t>t.</w:t>
      </w:r>
    </w:p>
    <w:p w14:paraId="29B8DB45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5" w:eastAsia="CIDFont+F5" w:hAnsi="CIDFont+F4" w:cs="CIDFont+F5" w:hint="eastAsia"/>
          <w:sz w:val="24"/>
          <w:szCs w:val="24"/>
        </w:rPr>
        <w:t></w:t>
      </w:r>
      <w:r>
        <w:rPr>
          <w:rFonts w:ascii="CIDFont+F5" w:eastAsia="CIDFont+F5" w:hAnsi="CIDFont+F4" w:cs="CIDFont+F5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Suggest short, medium and long term actions</w:t>
      </w:r>
    </w:p>
    <w:p w14:paraId="33C0A2FC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5" w:eastAsia="CIDFont+F5" w:hAnsi="CIDFont+F4" w:cs="CIDFont+F5" w:hint="eastAsia"/>
          <w:sz w:val="24"/>
          <w:szCs w:val="24"/>
        </w:rPr>
        <w:t></w:t>
      </w:r>
      <w:r>
        <w:rPr>
          <w:rFonts w:ascii="CIDFont+F5" w:eastAsia="CIDFont+F5" w:hAnsi="CIDFont+F4" w:cs="CIDFont+F5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Propose a second stage of more detailed changes subject to further discussions and</w:t>
      </w:r>
    </w:p>
    <w:p w14:paraId="00396AE1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agreement</w:t>
      </w:r>
      <w:proofErr w:type="gramEnd"/>
      <w:r>
        <w:rPr>
          <w:rFonts w:ascii="CIDFont+F2" w:hAnsi="CIDFont+F2" w:cs="CIDFont+F2"/>
          <w:sz w:val="24"/>
          <w:szCs w:val="24"/>
        </w:rPr>
        <w:t xml:space="preserve"> on a scope of works.</w:t>
      </w:r>
    </w:p>
    <w:p w14:paraId="77C314AA" w14:textId="77777777" w:rsidR="001D5CF7" w:rsidRDefault="001D5CF7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35C5D83C" w14:textId="77777777" w:rsidR="006A720B" w:rsidRPr="006D7244" w:rsidRDefault="006A720B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  <w:r w:rsidRPr="006D7244">
        <w:rPr>
          <w:rFonts w:ascii="CIDFont+F4" w:hAnsi="CIDFont+F4" w:cs="CIDFont+F4"/>
          <w:b/>
          <w:bCs/>
          <w:sz w:val="32"/>
          <w:szCs w:val="32"/>
        </w:rPr>
        <w:t>2. SITE ASSESSMENT</w:t>
      </w:r>
    </w:p>
    <w:p w14:paraId="359955E7" w14:textId="568155AF" w:rsidR="001D5CF7" w:rsidRDefault="006A720B" w:rsidP="001D5CF7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A visual inspection of the equipment was made </w:t>
      </w:r>
      <w:r w:rsidR="001D5CF7">
        <w:rPr>
          <w:rFonts w:ascii="CIDFont+F2" w:hAnsi="CIDFont+F2" w:cs="CIDFont+F2"/>
          <w:sz w:val="24"/>
          <w:szCs w:val="24"/>
        </w:rPr>
        <w:t>and the</w:t>
      </w:r>
      <w:r>
        <w:rPr>
          <w:rFonts w:ascii="CIDFont+F2" w:hAnsi="CIDFont+F2" w:cs="CIDFont+F2"/>
          <w:sz w:val="24"/>
          <w:szCs w:val="24"/>
        </w:rPr>
        <w:t xml:space="preserve"> following</w:t>
      </w:r>
      <w:r w:rsidR="001D5CF7" w:rsidRPr="001D5CF7">
        <w:rPr>
          <w:rFonts w:ascii="CIDFont+F2" w:hAnsi="CIDFont+F2" w:cs="CIDFont+F2"/>
          <w:sz w:val="24"/>
          <w:szCs w:val="24"/>
        </w:rPr>
        <w:t xml:space="preserve"> </w:t>
      </w:r>
      <w:r w:rsidR="001D5CF7">
        <w:rPr>
          <w:rFonts w:ascii="CIDFont+F2" w:hAnsi="CIDFont+F2" w:cs="CIDFont+F2"/>
          <w:sz w:val="24"/>
          <w:szCs w:val="24"/>
        </w:rPr>
        <w:t>report is based on the assessment and subsequent comments.</w:t>
      </w:r>
    </w:p>
    <w:p w14:paraId="02054CDE" w14:textId="08C0F473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3019AC5B" w14:textId="77777777" w:rsidR="00FD15A8" w:rsidRDefault="00FD15A8" w:rsidP="006A72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3630413" w14:textId="77777777" w:rsidR="006A720B" w:rsidRPr="006D7244" w:rsidRDefault="006A720B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  <w:r w:rsidRPr="006D7244">
        <w:rPr>
          <w:rFonts w:ascii="CIDFont+F4" w:hAnsi="CIDFont+F4" w:cs="CIDFont+F4"/>
          <w:b/>
          <w:bCs/>
          <w:sz w:val="32"/>
          <w:szCs w:val="32"/>
        </w:rPr>
        <w:t>2.1 MPU Construction</w:t>
      </w:r>
    </w:p>
    <w:p w14:paraId="08A00C4C" w14:textId="437394FA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The pyrolysis unit is a mobile unit, designed, built and supplied by PGE, </w:t>
      </w:r>
      <w:r w:rsidR="006D7244">
        <w:rPr>
          <w:rFonts w:ascii="CIDFont+F2" w:hAnsi="CIDFont+F2" w:cs="CIDFont+F2"/>
          <w:sz w:val="24"/>
          <w:szCs w:val="24"/>
        </w:rPr>
        <w:t xml:space="preserve">sister company </w:t>
      </w:r>
      <w:r>
        <w:rPr>
          <w:rFonts w:ascii="CIDFont+F2" w:hAnsi="CIDFont+F2" w:cs="CIDFont+F2"/>
          <w:sz w:val="24"/>
          <w:szCs w:val="24"/>
        </w:rPr>
        <w:t>OMC</w:t>
      </w:r>
    </w:p>
    <w:p w14:paraId="7F046658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Engineering, who are involved in the </w:t>
      </w:r>
      <w:proofErr w:type="spellStart"/>
      <w:r>
        <w:rPr>
          <w:rFonts w:ascii="CIDFont+F2" w:hAnsi="CIDFont+F2" w:cs="CIDFont+F2"/>
          <w:sz w:val="24"/>
          <w:szCs w:val="24"/>
        </w:rPr>
        <w:t>Enviroparks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projects in </w:t>
      </w:r>
      <w:proofErr w:type="spellStart"/>
      <w:r>
        <w:rPr>
          <w:rFonts w:ascii="CIDFont+F2" w:hAnsi="CIDFont+F2" w:cs="CIDFont+F2"/>
          <w:sz w:val="24"/>
          <w:szCs w:val="24"/>
        </w:rPr>
        <w:t>Hirwaun</w:t>
      </w:r>
      <w:proofErr w:type="spellEnd"/>
      <w:r>
        <w:rPr>
          <w:rFonts w:ascii="CIDFont+F2" w:hAnsi="CIDFont+F2" w:cs="CIDFont+F2"/>
          <w:sz w:val="24"/>
          <w:szCs w:val="24"/>
        </w:rPr>
        <w:t>, SW Wales. They have</w:t>
      </w:r>
    </w:p>
    <w:p w14:paraId="66D73AA6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been</w:t>
      </w:r>
      <w:proofErr w:type="gramEnd"/>
      <w:r>
        <w:rPr>
          <w:rFonts w:ascii="CIDFont+F2" w:hAnsi="CIDFont+F2" w:cs="CIDFont+F2"/>
          <w:sz w:val="24"/>
          <w:szCs w:val="24"/>
        </w:rPr>
        <w:t xml:space="preserve"> active in pyrolysis for over 10 years and built large rotary kiln based systems.</w:t>
      </w:r>
    </w:p>
    <w:p w14:paraId="343518EE" w14:textId="5B8044B2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Formal documentation for the safe operation of the equipment was </w:t>
      </w:r>
      <w:r w:rsidR="006D7244">
        <w:rPr>
          <w:rFonts w:ascii="CIDFont+F2" w:hAnsi="CIDFont+F2" w:cs="CIDFont+F2"/>
          <w:sz w:val="24"/>
          <w:szCs w:val="24"/>
        </w:rPr>
        <w:t xml:space="preserve">not </w:t>
      </w:r>
      <w:r>
        <w:rPr>
          <w:rFonts w:ascii="CIDFont+F2" w:hAnsi="CIDFont+F2" w:cs="CIDFont+F2"/>
          <w:sz w:val="24"/>
          <w:szCs w:val="24"/>
        </w:rPr>
        <w:t>available</w:t>
      </w:r>
      <w:r w:rsidR="006D7244">
        <w:rPr>
          <w:rFonts w:ascii="CIDFont+F2" w:hAnsi="CIDFont+F2" w:cs="CIDFont+F2"/>
          <w:sz w:val="24"/>
          <w:szCs w:val="24"/>
        </w:rPr>
        <w:t xml:space="preserve"> on the day</w:t>
      </w:r>
      <w:r>
        <w:rPr>
          <w:rFonts w:ascii="CIDFont+F2" w:hAnsi="CIDFont+F2" w:cs="CIDFont+F2"/>
          <w:sz w:val="24"/>
          <w:szCs w:val="24"/>
        </w:rPr>
        <w:t xml:space="preserve">. </w:t>
      </w:r>
      <w:r w:rsidR="005C1745">
        <w:rPr>
          <w:rFonts w:ascii="CIDFont+F2" w:hAnsi="CIDFont+F2" w:cs="CIDFont+F2"/>
          <w:sz w:val="24"/>
          <w:szCs w:val="24"/>
        </w:rPr>
        <w:t xml:space="preserve"> </w:t>
      </w:r>
      <w:r w:rsidRPr="003F149B">
        <w:rPr>
          <w:rFonts w:ascii="CIDFont+F2" w:hAnsi="CIDFont+F2" w:cs="CIDFont+F2"/>
          <w:sz w:val="24"/>
          <w:szCs w:val="24"/>
        </w:rPr>
        <w:t>None of the</w:t>
      </w:r>
      <w:r w:rsidR="006D7244" w:rsidRPr="003F149B">
        <w:rPr>
          <w:rFonts w:ascii="CIDFont+F2" w:hAnsi="CIDFont+F2" w:cs="CIDFont+F2"/>
          <w:sz w:val="24"/>
          <w:szCs w:val="24"/>
        </w:rPr>
        <w:t xml:space="preserve"> </w:t>
      </w:r>
      <w:r w:rsidRPr="003F149B">
        <w:rPr>
          <w:rFonts w:ascii="CIDFont+F2" w:hAnsi="CIDFont+F2" w:cs="CIDFont+F2"/>
          <w:sz w:val="24"/>
          <w:szCs w:val="24"/>
        </w:rPr>
        <w:t>visible equipment was ATEX compliant and there were a range of H&amp;S concerns,</w:t>
      </w:r>
      <w:r>
        <w:rPr>
          <w:rFonts w:ascii="CIDFont+F2" w:hAnsi="CIDFont+F2" w:cs="CIDFont+F2"/>
          <w:sz w:val="24"/>
          <w:szCs w:val="24"/>
        </w:rPr>
        <w:t xml:space="preserve"> which are</w:t>
      </w:r>
      <w:r w:rsidR="006D7244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dealt with below.</w:t>
      </w:r>
    </w:p>
    <w:p w14:paraId="234147DA" w14:textId="77777777" w:rsidR="00FD15A8" w:rsidRDefault="00FD15A8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</w:p>
    <w:p w14:paraId="477F1F49" w14:textId="13326FC4" w:rsidR="006A720B" w:rsidRPr="006D7244" w:rsidRDefault="006A720B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  <w:r w:rsidRPr="006D7244">
        <w:rPr>
          <w:rFonts w:ascii="CIDFont+F4" w:hAnsi="CIDFont+F4" w:cs="CIDFont+F4"/>
          <w:b/>
          <w:bCs/>
          <w:sz w:val="32"/>
          <w:szCs w:val="32"/>
        </w:rPr>
        <w:t>2.</w:t>
      </w:r>
      <w:r w:rsidR="00FD15A8">
        <w:rPr>
          <w:rFonts w:ascii="CIDFont+F4" w:hAnsi="CIDFont+F4" w:cs="CIDFont+F4"/>
          <w:b/>
          <w:bCs/>
          <w:sz w:val="32"/>
          <w:szCs w:val="32"/>
        </w:rPr>
        <w:t>2</w:t>
      </w:r>
      <w:r w:rsidRPr="006D7244">
        <w:rPr>
          <w:rFonts w:ascii="CIDFont+F4" w:hAnsi="CIDFont+F4" w:cs="CIDFont+F4"/>
          <w:b/>
          <w:bCs/>
          <w:sz w:val="32"/>
          <w:szCs w:val="32"/>
        </w:rPr>
        <w:t xml:space="preserve"> Equipment comments</w:t>
      </w:r>
    </w:p>
    <w:p w14:paraId="26BE5300" w14:textId="77777777" w:rsidR="005C1745" w:rsidRDefault="005C1745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19BAC518" w14:textId="766F4BDD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1</w:t>
      </w:r>
      <w:r w:rsidR="006A720B">
        <w:rPr>
          <w:rFonts w:ascii="CIDFont+F2" w:hAnsi="CIDFont+F2" w:cs="CIDFont+F2"/>
          <w:sz w:val="24"/>
          <w:szCs w:val="24"/>
        </w:rPr>
        <w:t>. Visual inspection of the screw would suggest that the flights are too thin, have too high a</w:t>
      </w:r>
    </w:p>
    <w:p w14:paraId="44069C00" w14:textId="4C9B8623" w:rsidR="003F149B" w:rsidRDefault="006A720B" w:rsidP="003F149B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pitch</w:t>
      </w:r>
      <w:proofErr w:type="gramEnd"/>
      <w:r>
        <w:rPr>
          <w:rFonts w:ascii="CIDFont+F2" w:hAnsi="CIDFont+F2" w:cs="CIDFont+F2"/>
          <w:sz w:val="24"/>
          <w:szCs w:val="24"/>
        </w:rPr>
        <w:t xml:space="preserve"> and this </w:t>
      </w:r>
      <w:r w:rsidR="005C1745">
        <w:rPr>
          <w:rFonts w:ascii="CIDFont+F2" w:hAnsi="CIDFont+F2" w:cs="CIDFont+F2"/>
          <w:sz w:val="24"/>
          <w:szCs w:val="24"/>
        </w:rPr>
        <w:t xml:space="preserve">probably </w:t>
      </w:r>
      <w:r>
        <w:rPr>
          <w:rFonts w:ascii="CIDFont+F2" w:hAnsi="CIDFont+F2" w:cs="CIDFont+F2"/>
          <w:sz w:val="24"/>
          <w:szCs w:val="24"/>
        </w:rPr>
        <w:t>needs to be reduced by 25-50%. The angle of the walls of the feed hopper</w:t>
      </w:r>
      <w:r w:rsidR="005C1745">
        <w:rPr>
          <w:rFonts w:ascii="CIDFont+F2" w:hAnsi="CIDFont+F2" w:cs="CIDFont+F2"/>
          <w:sz w:val="24"/>
          <w:szCs w:val="24"/>
        </w:rPr>
        <w:t xml:space="preserve"> </w:t>
      </w:r>
      <w:r w:rsidR="003F149B">
        <w:rPr>
          <w:rFonts w:ascii="CIDFont+F2" w:hAnsi="CIDFont+F2" w:cs="CIDFont+F2"/>
          <w:sz w:val="24"/>
          <w:szCs w:val="24"/>
        </w:rPr>
        <w:t>would suggest that bridging could occur with a low-density feedstock, such as rushes, straws and/or grasses.</w:t>
      </w:r>
    </w:p>
    <w:p w14:paraId="32C5E730" w14:textId="3655A801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</w:t>
      </w:r>
      <w:r w:rsidR="006A720B">
        <w:rPr>
          <w:rFonts w:ascii="CIDFont+F2" w:hAnsi="CIDFont+F2" w:cs="CIDFont+F2"/>
          <w:sz w:val="24"/>
          <w:szCs w:val="24"/>
        </w:rPr>
        <w:t>. Partially combusted gas flow within the kiln means poor heating of the solids, tars</w:t>
      </w:r>
    </w:p>
    <w:p w14:paraId="6D42F3F4" w14:textId="270971B4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 xml:space="preserve">deposition on the walls at cold spots and the potential to burn the feedstock and </w:t>
      </w:r>
      <w:r w:rsidR="005C1745">
        <w:rPr>
          <w:rFonts w:ascii="CIDFont+F2" w:hAnsi="CIDFont+F2" w:cs="CIDFont+F2"/>
          <w:sz w:val="24"/>
          <w:szCs w:val="24"/>
        </w:rPr>
        <w:t xml:space="preserve">not </w:t>
      </w:r>
      <w:proofErr w:type="spellStart"/>
      <w:r>
        <w:rPr>
          <w:rFonts w:ascii="CIDFont+F2" w:hAnsi="CIDFont+F2" w:cs="CIDFont+F2"/>
          <w:sz w:val="24"/>
          <w:szCs w:val="24"/>
        </w:rPr>
        <w:t>pyrolyse</w:t>
      </w:r>
      <w:proofErr w:type="spellEnd"/>
      <w:r w:rsidR="005C1745">
        <w:rPr>
          <w:rFonts w:ascii="CIDFont+F2" w:hAnsi="CIDFont+F2" w:cs="CIDFont+F2"/>
          <w:sz w:val="24"/>
          <w:szCs w:val="24"/>
        </w:rPr>
        <w:t xml:space="preserve"> it. It</w:t>
      </w:r>
      <w:r w:rsidR="003F149B">
        <w:rPr>
          <w:rFonts w:ascii="CIDFont+F2" w:hAnsi="CIDFont+F2" w:cs="CIDFont+F2"/>
          <w:sz w:val="24"/>
          <w:szCs w:val="24"/>
        </w:rPr>
        <w:t>’</w:t>
      </w:r>
      <w:r w:rsidR="005C1745">
        <w:rPr>
          <w:rFonts w:ascii="CIDFont+F2" w:hAnsi="CIDFont+F2" w:cs="CIDFont+F2"/>
          <w:sz w:val="24"/>
          <w:szCs w:val="24"/>
        </w:rPr>
        <w:t>s clear that this counter current flow of gas over the top of the feedstock will lead to limited pyrolysis through the particles at the bottom of the trough.</w:t>
      </w:r>
    </w:p>
    <w:p w14:paraId="5B624ED6" w14:textId="4CC7CADC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</w:t>
      </w:r>
      <w:r w:rsidR="006A720B">
        <w:rPr>
          <w:rFonts w:ascii="CIDFont+F2" w:hAnsi="CIDFont+F2" w:cs="CIDFont+F2"/>
          <w:sz w:val="24"/>
          <w:szCs w:val="24"/>
        </w:rPr>
        <w:t>. O</w:t>
      </w:r>
      <w:r w:rsidR="006A720B">
        <w:rPr>
          <w:rFonts w:ascii="CIDFont+F2" w:hAnsi="CIDFont+F2" w:cs="CIDFont+F2"/>
          <w:sz w:val="16"/>
          <w:szCs w:val="16"/>
        </w:rPr>
        <w:t xml:space="preserve">2 </w:t>
      </w:r>
      <w:r w:rsidR="006A720B">
        <w:rPr>
          <w:rFonts w:ascii="CIDFont+F2" w:hAnsi="CIDFont+F2" w:cs="CIDFont+F2"/>
          <w:sz w:val="24"/>
          <w:szCs w:val="24"/>
        </w:rPr>
        <w:t xml:space="preserve">measurement </w:t>
      </w:r>
      <w:r w:rsidR="00A01F20">
        <w:rPr>
          <w:rFonts w:ascii="CIDFont+F2" w:hAnsi="CIDFont+F2" w:cs="CIDFont+F2"/>
          <w:sz w:val="24"/>
          <w:szCs w:val="24"/>
        </w:rPr>
        <w:t xml:space="preserve">should be provided </w:t>
      </w:r>
      <w:r w:rsidR="006A720B">
        <w:rPr>
          <w:rFonts w:ascii="CIDFont+F2" w:hAnsi="CIDFont+F2" w:cs="CIDFont+F2"/>
          <w:sz w:val="24"/>
          <w:szCs w:val="24"/>
        </w:rPr>
        <w:t xml:space="preserve">in the combustion chamber </w:t>
      </w:r>
      <w:r w:rsidR="005C1745">
        <w:rPr>
          <w:rFonts w:ascii="CIDFont+F2" w:hAnsi="CIDFont+F2" w:cs="CIDFont+F2"/>
          <w:sz w:val="24"/>
          <w:szCs w:val="24"/>
        </w:rPr>
        <w:t xml:space="preserve">as there is </w:t>
      </w:r>
      <w:r w:rsidR="006A720B">
        <w:rPr>
          <w:rFonts w:ascii="CIDFont+F2" w:hAnsi="CIDFont+F2" w:cs="CIDFont+F2"/>
          <w:sz w:val="24"/>
          <w:szCs w:val="24"/>
        </w:rPr>
        <w:t>no indication as to the determining</w:t>
      </w:r>
      <w:r w:rsidR="00A01F20">
        <w:rPr>
          <w:rFonts w:ascii="CIDFont+F2" w:hAnsi="CIDFont+F2" w:cs="CIDFont+F2"/>
          <w:sz w:val="24"/>
          <w:szCs w:val="24"/>
        </w:rPr>
        <w:t xml:space="preserve"> </w:t>
      </w:r>
      <w:r w:rsidR="006A720B">
        <w:rPr>
          <w:rFonts w:ascii="CIDFont+F2" w:hAnsi="CIDFont+F2" w:cs="CIDFont+F2"/>
          <w:sz w:val="24"/>
          <w:szCs w:val="24"/>
        </w:rPr>
        <w:t>factor in the temperature of the burnt gases</w:t>
      </w:r>
      <w:r w:rsidR="005C1745">
        <w:rPr>
          <w:rFonts w:ascii="CIDFont+F2" w:hAnsi="CIDFont+F2" w:cs="CIDFont+F2"/>
          <w:sz w:val="24"/>
          <w:szCs w:val="24"/>
        </w:rPr>
        <w:t xml:space="preserve">, </w:t>
      </w:r>
      <w:proofErr w:type="gramStart"/>
      <w:r w:rsidR="005C1745">
        <w:rPr>
          <w:rFonts w:ascii="CIDFont+F2" w:hAnsi="CIDFont+F2" w:cs="CIDFont+F2"/>
          <w:sz w:val="24"/>
          <w:szCs w:val="24"/>
        </w:rPr>
        <w:t>nor</w:t>
      </w:r>
      <w:proofErr w:type="gramEnd"/>
      <w:r w:rsidR="005C1745">
        <w:rPr>
          <w:rFonts w:ascii="CIDFont+F2" w:hAnsi="CIDFont+F2" w:cs="CIDFont+F2"/>
          <w:sz w:val="24"/>
          <w:szCs w:val="24"/>
        </w:rPr>
        <w:t xml:space="preserve"> the air flow</w:t>
      </w:r>
      <w:r w:rsidR="006A720B">
        <w:rPr>
          <w:rFonts w:ascii="CIDFont+F2" w:hAnsi="CIDFont+F2" w:cs="CIDFont+F2"/>
          <w:sz w:val="24"/>
          <w:szCs w:val="24"/>
        </w:rPr>
        <w:t xml:space="preserve">. </w:t>
      </w:r>
      <w:r w:rsidR="00A01F20">
        <w:rPr>
          <w:rFonts w:ascii="CIDFont+F2" w:hAnsi="CIDFont+F2" w:cs="CIDFont+F2"/>
          <w:sz w:val="24"/>
          <w:szCs w:val="24"/>
        </w:rPr>
        <w:t xml:space="preserve">Necessary to be able </w:t>
      </w:r>
      <w:r w:rsidR="006A720B">
        <w:rPr>
          <w:rFonts w:ascii="CIDFont+F2" w:hAnsi="CIDFont+F2" w:cs="CIDFont+F2"/>
          <w:sz w:val="24"/>
          <w:szCs w:val="24"/>
        </w:rPr>
        <w:t>to set combustion conditions to</w:t>
      </w:r>
      <w:r w:rsidR="00A01F20">
        <w:rPr>
          <w:rFonts w:ascii="CIDFont+F2" w:hAnsi="CIDFont+F2" w:cs="CIDFont+F2"/>
          <w:sz w:val="24"/>
          <w:szCs w:val="24"/>
        </w:rPr>
        <w:t xml:space="preserve"> </w:t>
      </w:r>
      <w:r w:rsidR="006A720B">
        <w:rPr>
          <w:rFonts w:ascii="CIDFont+F2" w:hAnsi="CIDFont+F2" w:cs="CIDFont+F2"/>
          <w:sz w:val="24"/>
          <w:szCs w:val="24"/>
        </w:rPr>
        <w:t>ensure tar burnout or excess O</w:t>
      </w:r>
      <w:r w:rsidR="006A720B">
        <w:rPr>
          <w:rFonts w:ascii="CIDFont+F2" w:hAnsi="CIDFont+F2" w:cs="CIDFont+F2"/>
          <w:sz w:val="16"/>
          <w:szCs w:val="16"/>
        </w:rPr>
        <w:t xml:space="preserve">2 </w:t>
      </w:r>
      <w:r w:rsidR="006A720B">
        <w:rPr>
          <w:rFonts w:ascii="CIDFont+F2" w:hAnsi="CIDFont+F2" w:cs="CIDFont+F2"/>
          <w:sz w:val="24"/>
          <w:szCs w:val="24"/>
        </w:rPr>
        <w:t>returning to the kil</w:t>
      </w:r>
      <w:r w:rsidR="00FD15A8">
        <w:rPr>
          <w:rFonts w:ascii="CIDFont+F2" w:hAnsi="CIDFont+F2" w:cs="CIDFont+F2"/>
          <w:sz w:val="24"/>
          <w:szCs w:val="24"/>
        </w:rPr>
        <w:t xml:space="preserve">n to prevent </w:t>
      </w:r>
      <w:r w:rsidR="006A720B">
        <w:rPr>
          <w:rFonts w:ascii="CIDFont+F2" w:hAnsi="CIDFont+F2" w:cs="CIDFont+F2"/>
          <w:sz w:val="24"/>
          <w:szCs w:val="24"/>
        </w:rPr>
        <w:t>risk of fire or detonation of the</w:t>
      </w:r>
      <w:r w:rsidR="00A01F20">
        <w:rPr>
          <w:rFonts w:ascii="CIDFont+F2" w:hAnsi="CIDFont+F2" w:cs="CIDFont+F2"/>
          <w:sz w:val="24"/>
          <w:szCs w:val="24"/>
        </w:rPr>
        <w:t xml:space="preserve"> </w:t>
      </w:r>
      <w:r w:rsidR="006A720B">
        <w:rPr>
          <w:rFonts w:ascii="CIDFont+F2" w:hAnsi="CIDFont+F2" w:cs="CIDFont+F2"/>
          <w:sz w:val="24"/>
          <w:szCs w:val="24"/>
        </w:rPr>
        <w:t>syngas if O</w:t>
      </w:r>
      <w:r w:rsidR="006A720B">
        <w:rPr>
          <w:rFonts w:ascii="CIDFont+F2" w:hAnsi="CIDFont+F2" w:cs="CIDFont+F2"/>
          <w:sz w:val="16"/>
          <w:szCs w:val="16"/>
        </w:rPr>
        <w:t xml:space="preserve">2 </w:t>
      </w:r>
      <w:r w:rsidR="006A720B">
        <w:rPr>
          <w:rFonts w:ascii="CIDFont+F2" w:hAnsi="CIDFont+F2" w:cs="CIDFont+F2"/>
          <w:sz w:val="24"/>
          <w:szCs w:val="24"/>
        </w:rPr>
        <w:t>&gt; 1 vol%.</w:t>
      </w:r>
    </w:p>
    <w:p w14:paraId="64777B7F" w14:textId="7258CCB5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</w:t>
      </w:r>
      <w:r w:rsidR="006A720B">
        <w:rPr>
          <w:rFonts w:ascii="CIDFont+F2" w:hAnsi="CIDFont+F2" w:cs="CIDFont+F2"/>
          <w:sz w:val="24"/>
          <w:szCs w:val="24"/>
        </w:rPr>
        <w:t xml:space="preserve">. </w:t>
      </w:r>
      <w:r w:rsidR="00A01F20">
        <w:rPr>
          <w:rFonts w:ascii="CIDFont+F2" w:hAnsi="CIDFont+F2" w:cs="CIDFont+F2"/>
          <w:sz w:val="24"/>
          <w:szCs w:val="24"/>
        </w:rPr>
        <w:t xml:space="preserve">Allowance should be made </w:t>
      </w:r>
      <w:r w:rsidR="006A720B">
        <w:rPr>
          <w:rFonts w:ascii="CIDFont+F2" w:hAnsi="CIDFont+F2" w:cs="CIDFont+F2"/>
          <w:sz w:val="24"/>
          <w:szCs w:val="24"/>
        </w:rPr>
        <w:t>for thermal expansion and/or contraction of the</w:t>
      </w:r>
    </w:p>
    <w:p w14:paraId="56C9A787" w14:textId="485AA259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tube, </w:t>
      </w:r>
      <w:r w:rsidR="00A01F20">
        <w:rPr>
          <w:rFonts w:ascii="CIDFont+F2" w:hAnsi="CIDFont+F2" w:cs="CIDFont+F2"/>
          <w:sz w:val="24"/>
          <w:szCs w:val="24"/>
        </w:rPr>
        <w:t xml:space="preserve">to prevent </w:t>
      </w:r>
      <w:r>
        <w:rPr>
          <w:rFonts w:ascii="CIDFont+F2" w:hAnsi="CIDFont+F2" w:cs="CIDFont+F2"/>
          <w:sz w:val="24"/>
          <w:szCs w:val="24"/>
        </w:rPr>
        <w:t>axial stress on the tube. Any metal subject to a temperature change of &gt;</w:t>
      </w:r>
    </w:p>
    <w:p w14:paraId="112CD191" w14:textId="27BE34BD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300°C needs provision for movement of &gt; </w:t>
      </w:r>
      <w:r w:rsidR="005C1745">
        <w:rPr>
          <w:rFonts w:ascii="CIDFont+F2" w:hAnsi="CIDFont+F2" w:cs="CIDFont+F2"/>
          <w:sz w:val="24"/>
          <w:szCs w:val="24"/>
        </w:rPr>
        <w:t xml:space="preserve">3 </w:t>
      </w:r>
      <w:r>
        <w:rPr>
          <w:rFonts w:ascii="CIDFont+F2" w:hAnsi="CIDFont+F2" w:cs="CIDFont+F2"/>
          <w:sz w:val="24"/>
          <w:szCs w:val="24"/>
        </w:rPr>
        <w:t>mm to avoid mechanical stresses</w:t>
      </w:r>
      <w:r w:rsidR="005C1745">
        <w:rPr>
          <w:rFonts w:ascii="CIDFont+F2" w:hAnsi="CIDFont+F2" w:cs="CIDFont+F2"/>
          <w:sz w:val="24"/>
          <w:szCs w:val="24"/>
        </w:rPr>
        <w:t>, both laterally and axially</w:t>
      </w:r>
      <w:r>
        <w:rPr>
          <w:rFonts w:ascii="CIDFont+F2" w:hAnsi="CIDFont+F2" w:cs="CIDFont+F2"/>
          <w:sz w:val="24"/>
          <w:szCs w:val="24"/>
        </w:rPr>
        <w:t>.</w:t>
      </w:r>
    </w:p>
    <w:p w14:paraId="7F707440" w14:textId="2DEDA90C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5</w:t>
      </w:r>
      <w:r w:rsidR="006A720B">
        <w:rPr>
          <w:rFonts w:ascii="CIDFont+F2" w:hAnsi="CIDFont+F2" w:cs="CIDFont+F2"/>
          <w:sz w:val="24"/>
          <w:szCs w:val="24"/>
        </w:rPr>
        <w:t xml:space="preserve">. </w:t>
      </w:r>
      <w:r w:rsidR="003F393E">
        <w:rPr>
          <w:rFonts w:ascii="CIDFont+F2" w:hAnsi="CIDFont+F2" w:cs="CIDFont+F2"/>
          <w:sz w:val="24"/>
          <w:szCs w:val="24"/>
        </w:rPr>
        <w:t>All f</w:t>
      </w:r>
      <w:r w:rsidR="006A720B">
        <w:rPr>
          <w:rFonts w:ascii="CIDFont+F2" w:hAnsi="CIDFont+F2" w:cs="CIDFont+F2"/>
          <w:sz w:val="24"/>
          <w:szCs w:val="24"/>
        </w:rPr>
        <w:t>lange seals not visible. Check if a suitable high T material like laminated graphite</w:t>
      </w:r>
    </w:p>
    <w:p w14:paraId="1828AD85" w14:textId="5352B20F" w:rsidR="006A720B" w:rsidRPr="00A01F20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70C0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[</w:t>
      </w:r>
      <w:proofErr w:type="spellStart"/>
      <w:r>
        <w:rPr>
          <w:rFonts w:ascii="CIDFont+F2" w:hAnsi="CIDFont+F2" w:cs="CIDFont+F2"/>
          <w:sz w:val="24"/>
          <w:szCs w:val="24"/>
        </w:rPr>
        <w:t>Supagraf</w:t>
      </w:r>
      <w:proofErr w:type="spellEnd"/>
      <w:r>
        <w:rPr>
          <w:rFonts w:ascii="CIDFont+F2" w:hAnsi="CIDFont+F2" w:cs="CIDFont+F2"/>
          <w:sz w:val="24"/>
          <w:szCs w:val="24"/>
        </w:rPr>
        <w:t>™ for example]</w:t>
      </w:r>
      <w:r w:rsidR="003F393E">
        <w:rPr>
          <w:rFonts w:ascii="CIDFont+F2" w:hAnsi="CIDFont+F2" w:cs="CIDFont+F2"/>
          <w:sz w:val="24"/>
          <w:szCs w:val="24"/>
        </w:rPr>
        <w:t xml:space="preserve"> is present which is O</w:t>
      </w:r>
      <w:r w:rsidR="003F393E" w:rsidRPr="003F149B">
        <w:rPr>
          <w:rFonts w:ascii="CIDFont+F2" w:hAnsi="CIDFont+F2" w:cs="CIDFont+F2"/>
          <w:sz w:val="24"/>
          <w:szCs w:val="24"/>
          <w:vertAlign w:val="subscript"/>
        </w:rPr>
        <w:t>2</w:t>
      </w:r>
      <w:r w:rsidR="003F393E">
        <w:rPr>
          <w:rFonts w:ascii="CIDFont+F2" w:hAnsi="CIDFont+F2" w:cs="CIDFont+F2"/>
          <w:sz w:val="24"/>
          <w:szCs w:val="24"/>
        </w:rPr>
        <w:t xml:space="preserve"> resistant at high T</w:t>
      </w:r>
      <w:r>
        <w:rPr>
          <w:rFonts w:ascii="CIDFont+F2" w:hAnsi="CIDFont+F2" w:cs="CIDFont+F2"/>
          <w:sz w:val="24"/>
          <w:szCs w:val="24"/>
        </w:rPr>
        <w:t>.</w:t>
      </w:r>
      <w:r w:rsidR="00A01F20">
        <w:rPr>
          <w:rFonts w:ascii="CIDFont+F2" w:hAnsi="CIDFont+F2" w:cs="CIDFont+F2"/>
          <w:sz w:val="24"/>
          <w:szCs w:val="24"/>
        </w:rPr>
        <w:t xml:space="preserve"> </w:t>
      </w:r>
    </w:p>
    <w:p w14:paraId="6B957AF1" w14:textId="08FA09AD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6</w:t>
      </w:r>
      <w:r w:rsidR="006A720B">
        <w:rPr>
          <w:rFonts w:ascii="CIDFont+F2" w:hAnsi="CIDFont+F2" w:cs="CIDFont+F2"/>
          <w:sz w:val="24"/>
          <w:szCs w:val="24"/>
        </w:rPr>
        <w:t>. N</w:t>
      </w:r>
      <w:r w:rsidR="006A720B">
        <w:rPr>
          <w:rFonts w:ascii="CIDFont+F2" w:hAnsi="CIDFont+F2" w:cs="CIDFont+F2"/>
          <w:sz w:val="16"/>
          <w:szCs w:val="16"/>
        </w:rPr>
        <w:t xml:space="preserve">2 </w:t>
      </w:r>
      <w:r w:rsidR="006A720B">
        <w:rPr>
          <w:rFonts w:ascii="CIDFont+F2" w:hAnsi="CIDFont+F2" w:cs="CIDFont+F2"/>
          <w:sz w:val="24"/>
          <w:szCs w:val="24"/>
        </w:rPr>
        <w:t>purging from feed end to prevent air ingress is recommended to stop internal</w:t>
      </w:r>
    </w:p>
    <w:p w14:paraId="609A4F28" w14:textId="35335A30" w:rsidR="006A720B" w:rsidRDefault="003A1593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combustion</w:t>
      </w:r>
      <w:proofErr w:type="gramEnd"/>
      <w:r>
        <w:rPr>
          <w:rFonts w:ascii="CIDFont+F2" w:hAnsi="CIDFont+F2" w:cs="CIDFont+F2"/>
          <w:sz w:val="24"/>
          <w:szCs w:val="24"/>
        </w:rPr>
        <w:t xml:space="preserve"> </w:t>
      </w:r>
      <w:r w:rsidR="003F393E">
        <w:rPr>
          <w:rFonts w:ascii="CIDFont+F2" w:hAnsi="CIDFont+F2" w:cs="CIDFont+F2"/>
          <w:sz w:val="24"/>
          <w:szCs w:val="24"/>
        </w:rPr>
        <w:t>and ensure pyrolysis</w:t>
      </w:r>
      <w:r w:rsidR="006A720B">
        <w:rPr>
          <w:rFonts w:ascii="CIDFont+F2" w:hAnsi="CIDFont+F2" w:cs="CIDFont+F2"/>
          <w:sz w:val="24"/>
          <w:szCs w:val="24"/>
        </w:rPr>
        <w:t>.</w:t>
      </w:r>
    </w:p>
    <w:p w14:paraId="4EB23CD3" w14:textId="0E17B231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7</w:t>
      </w:r>
      <w:r w:rsidR="006A720B">
        <w:rPr>
          <w:rFonts w:ascii="CIDFont+F2" w:hAnsi="CIDFont+F2" w:cs="CIDFont+F2"/>
          <w:sz w:val="24"/>
          <w:szCs w:val="24"/>
        </w:rPr>
        <w:t xml:space="preserve">. Kiln length </w:t>
      </w:r>
      <w:r w:rsidR="00A01F20">
        <w:rPr>
          <w:rFonts w:ascii="CIDFont+F2" w:hAnsi="CIDFont+F2" w:cs="CIDFont+F2"/>
          <w:sz w:val="24"/>
          <w:szCs w:val="24"/>
        </w:rPr>
        <w:t xml:space="preserve">should be </w:t>
      </w:r>
      <w:r w:rsidR="003A1593">
        <w:rPr>
          <w:rFonts w:ascii="CIDFont+F2" w:hAnsi="CIDFont+F2" w:cs="CIDFont+F2"/>
          <w:sz w:val="24"/>
          <w:szCs w:val="24"/>
        </w:rPr>
        <w:t xml:space="preserve">significantly </w:t>
      </w:r>
      <w:r w:rsidR="00A01F20">
        <w:rPr>
          <w:rFonts w:ascii="CIDFont+F2" w:hAnsi="CIDFont+F2" w:cs="CIDFont+F2"/>
          <w:sz w:val="24"/>
          <w:szCs w:val="24"/>
        </w:rPr>
        <w:t>enlarged</w:t>
      </w:r>
      <w:r w:rsidR="006A720B">
        <w:rPr>
          <w:rFonts w:ascii="CIDFont+F2" w:hAnsi="CIDFont+F2" w:cs="CIDFont+F2"/>
          <w:sz w:val="24"/>
          <w:szCs w:val="24"/>
        </w:rPr>
        <w:t xml:space="preserve"> to obtain a significant material throughput. L/D ratio should be ~10-12 </w:t>
      </w:r>
      <w:r w:rsidR="00A01F20">
        <w:rPr>
          <w:rFonts w:ascii="CIDFont+F2" w:hAnsi="CIDFont+F2" w:cs="CIDFont+F2"/>
          <w:sz w:val="24"/>
          <w:szCs w:val="24"/>
        </w:rPr>
        <w:t>–</w:t>
      </w:r>
      <w:r w:rsidR="006A720B">
        <w:rPr>
          <w:rFonts w:ascii="CIDFont+F2" w:hAnsi="CIDFont+F2" w:cs="CIDFont+F2"/>
          <w:sz w:val="24"/>
          <w:szCs w:val="24"/>
        </w:rPr>
        <w:t xml:space="preserve"> </w:t>
      </w:r>
      <w:r w:rsidR="00A01F20">
        <w:rPr>
          <w:rFonts w:ascii="CIDFont+F2" w:hAnsi="CIDFont+F2" w:cs="CIDFont+F2"/>
          <w:sz w:val="24"/>
          <w:szCs w:val="24"/>
        </w:rPr>
        <w:t xml:space="preserve">current </w:t>
      </w:r>
      <w:r w:rsidR="006A720B">
        <w:rPr>
          <w:rFonts w:ascii="CIDFont+F2" w:hAnsi="CIDFont+F2" w:cs="CIDFont+F2"/>
          <w:sz w:val="24"/>
          <w:szCs w:val="24"/>
        </w:rPr>
        <w:t>one is less than 5 or 6.</w:t>
      </w:r>
    </w:p>
    <w:p w14:paraId="3B0088AB" w14:textId="4DE68B46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8</w:t>
      </w:r>
      <w:r w:rsidR="006A720B">
        <w:rPr>
          <w:rFonts w:ascii="CIDFont+F2" w:hAnsi="CIDFont+F2" w:cs="CIDFont+F2"/>
          <w:sz w:val="24"/>
          <w:szCs w:val="24"/>
        </w:rPr>
        <w:t xml:space="preserve">. Seals on char bin </w:t>
      </w:r>
      <w:r w:rsidR="00A01F20">
        <w:rPr>
          <w:rFonts w:ascii="CIDFont+F2" w:hAnsi="CIDFont+F2" w:cs="CIDFont+F2"/>
          <w:sz w:val="24"/>
          <w:szCs w:val="24"/>
        </w:rPr>
        <w:t>should be review</w:t>
      </w:r>
      <w:r w:rsidR="00604E2A">
        <w:rPr>
          <w:rFonts w:ascii="CIDFont+F2" w:hAnsi="CIDFont+F2" w:cs="CIDFont+F2"/>
          <w:sz w:val="24"/>
          <w:szCs w:val="24"/>
        </w:rPr>
        <w:t>ed</w:t>
      </w:r>
      <w:r w:rsidR="006A720B">
        <w:rPr>
          <w:rFonts w:ascii="CIDFont+F2" w:hAnsi="CIDFont+F2" w:cs="CIDFont+F2"/>
          <w:sz w:val="24"/>
          <w:szCs w:val="24"/>
        </w:rPr>
        <w:t>. Air ingress into char screw highly possible and evidence of heat damage to the discharge screw</w:t>
      </w:r>
      <w:r w:rsidR="003A1593">
        <w:rPr>
          <w:rFonts w:ascii="CIDFont+F2" w:hAnsi="CIDFont+F2" w:cs="CIDFont+F2"/>
          <w:sz w:val="24"/>
          <w:szCs w:val="24"/>
        </w:rPr>
        <w:t xml:space="preserve"> clearly visible</w:t>
      </w:r>
      <w:r w:rsidR="006A720B">
        <w:rPr>
          <w:rFonts w:ascii="CIDFont+F2" w:hAnsi="CIDFont+F2" w:cs="CIDFont+F2"/>
          <w:sz w:val="24"/>
          <w:szCs w:val="24"/>
        </w:rPr>
        <w:t xml:space="preserve"> – severely annealed pipework</w:t>
      </w:r>
      <w:r w:rsidR="003A1593">
        <w:rPr>
          <w:rFonts w:ascii="CIDFont+F2" w:hAnsi="CIDFont+F2" w:cs="CIDFont+F2"/>
          <w:sz w:val="24"/>
          <w:szCs w:val="24"/>
        </w:rPr>
        <w:t xml:space="preserve"> which leads to mechanical weakness</w:t>
      </w:r>
      <w:r w:rsidR="006A720B">
        <w:rPr>
          <w:rFonts w:ascii="CIDFont+F2" w:hAnsi="CIDFont+F2" w:cs="CIDFont+F2"/>
          <w:sz w:val="24"/>
          <w:szCs w:val="24"/>
        </w:rPr>
        <w:t>.</w:t>
      </w:r>
    </w:p>
    <w:p w14:paraId="5AA19251" w14:textId="199DF02B" w:rsidR="006A720B" w:rsidRDefault="00FD15A8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9</w:t>
      </w:r>
      <w:r w:rsidR="006A720B">
        <w:rPr>
          <w:rFonts w:ascii="CIDFont+F2" w:hAnsi="CIDFont+F2" w:cs="CIDFont+F2"/>
          <w:sz w:val="24"/>
          <w:szCs w:val="24"/>
        </w:rPr>
        <w:t xml:space="preserve">. </w:t>
      </w:r>
      <w:r w:rsidR="00604E2A">
        <w:rPr>
          <w:rFonts w:ascii="CIDFont+F2" w:hAnsi="CIDFont+F2" w:cs="CIDFont+F2"/>
          <w:sz w:val="24"/>
          <w:szCs w:val="24"/>
        </w:rPr>
        <w:t>T</w:t>
      </w:r>
      <w:r w:rsidR="006A720B">
        <w:rPr>
          <w:rFonts w:ascii="CIDFont+F2" w:hAnsi="CIDFont+F2" w:cs="CIDFont+F2"/>
          <w:sz w:val="24"/>
          <w:szCs w:val="24"/>
        </w:rPr>
        <w:t>emperature measurement on combustion chamber</w:t>
      </w:r>
      <w:r w:rsidR="00604E2A">
        <w:rPr>
          <w:rFonts w:ascii="CIDFont+F2" w:hAnsi="CIDFont+F2" w:cs="CIDFont+F2"/>
          <w:sz w:val="24"/>
          <w:szCs w:val="24"/>
        </w:rPr>
        <w:t xml:space="preserve"> should be provided</w:t>
      </w:r>
      <w:r w:rsidR="006A720B">
        <w:rPr>
          <w:rFonts w:ascii="CIDFont+F2" w:hAnsi="CIDFont+F2" w:cs="CIDFont+F2"/>
          <w:sz w:val="24"/>
          <w:szCs w:val="24"/>
        </w:rPr>
        <w:t xml:space="preserve"> </w:t>
      </w:r>
      <w:r w:rsidR="003A1593">
        <w:rPr>
          <w:rFonts w:ascii="CIDFont+F2" w:hAnsi="CIDFont+F2" w:cs="CIDFont+F2"/>
          <w:sz w:val="24"/>
          <w:szCs w:val="24"/>
        </w:rPr>
        <w:t>and on the pyrolysis kiln</w:t>
      </w:r>
      <w:r w:rsidR="006A720B">
        <w:rPr>
          <w:rFonts w:ascii="CIDFont+F2" w:hAnsi="CIDFont+F2" w:cs="CIDFont+F2"/>
          <w:sz w:val="24"/>
          <w:szCs w:val="24"/>
        </w:rPr>
        <w:t>.</w:t>
      </w:r>
      <w:r w:rsidR="003A1593">
        <w:rPr>
          <w:rFonts w:ascii="CIDFont+F2" w:hAnsi="CIDFont+F2" w:cs="CIDFont+F2"/>
          <w:sz w:val="24"/>
          <w:szCs w:val="24"/>
        </w:rPr>
        <w:t xml:space="preserve">  </w:t>
      </w:r>
      <w:r w:rsidR="006A720B">
        <w:rPr>
          <w:rFonts w:ascii="CIDFont+F2" w:hAnsi="CIDFont+F2" w:cs="CIDFont+F2"/>
          <w:sz w:val="24"/>
          <w:szCs w:val="24"/>
        </w:rPr>
        <w:t xml:space="preserve">Several </w:t>
      </w:r>
      <w:r w:rsidR="003A1593">
        <w:rPr>
          <w:rFonts w:ascii="CIDFont+F2" w:hAnsi="CIDFont+F2" w:cs="CIDFont+F2"/>
          <w:sz w:val="24"/>
          <w:szCs w:val="24"/>
        </w:rPr>
        <w:t xml:space="preserve">duplexed </w:t>
      </w:r>
      <w:r w:rsidR="006A720B">
        <w:rPr>
          <w:rFonts w:ascii="CIDFont+F2" w:hAnsi="CIDFont+F2" w:cs="CIDFont+F2"/>
          <w:sz w:val="24"/>
          <w:szCs w:val="24"/>
        </w:rPr>
        <w:t>type K thermocouples should be fitted.</w:t>
      </w:r>
    </w:p>
    <w:p w14:paraId="37F5B8A9" w14:textId="77777777" w:rsidR="00604E2A" w:rsidRDefault="00604E2A" w:rsidP="006A72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3772564" w14:textId="71461B92" w:rsidR="006A720B" w:rsidRPr="006D7244" w:rsidRDefault="006A720B" w:rsidP="006A720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32"/>
          <w:szCs w:val="32"/>
        </w:rPr>
      </w:pPr>
      <w:r w:rsidRPr="006D7244">
        <w:rPr>
          <w:rFonts w:ascii="CIDFont+F4" w:hAnsi="CIDFont+F4" w:cs="CIDFont+F4"/>
          <w:b/>
          <w:bCs/>
          <w:sz w:val="32"/>
          <w:szCs w:val="32"/>
        </w:rPr>
        <w:t>2.</w:t>
      </w:r>
      <w:r w:rsidR="00FD15A8">
        <w:rPr>
          <w:rFonts w:ascii="CIDFont+F4" w:hAnsi="CIDFont+F4" w:cs="CIDFont+F4"/>
          <w:b/>
          <w:bCs/>
          <w:sz w:val="32"/>
          <w:szCs w:val="32"/>
        </w:rPr>
        <w:t>3</w:t>
      </w:r>
      <w:r w:rsidRPr="006D7244">
        <w:rPr>
          <w:rFonts w:ascii="CIDFont+F4" w:hAnsi="CIDFont+F4" w:cs="CIDFont+F4"/>
          <w:b/>
          <w:bCs/>
          <w:sz w:val="32"/>
          <w:szCs w:val="32"/>
        </w:rPr>
        <w:t xml:space="preserve"> </w:t>
      </w:r>
      <w:r w:rsidR="00FD15A8">
        <w:rPr>
          <w:rFonts w:ascii="CIDFont+F4" w:hAnsi="CIDFont+F4" w:cs="CIDFont+F4"/>
          <w:b/>
          <w:bCs/>
          <w:sz w:val="32"/>
          <w:szCs w:val="32"/>
        </w:rPr>
        <w:t xml:space="preserve">General </w:t>
      </w:r>
      <w:r w:rsidRPr="006D7244">
        <w:rPr>
          <w:rFonts w:ascii="CIDFont+F4" w:hAnsi="CIDFont+F4" w:cs="CIDFont+F4"/>
          <w:b/>
          <w:bCs/>
          <w:sz w:val="32"/>
          <w:szCs w:val="32"/>
        </w:rPr>
        <w:t>Recommendations</w:t>
      </w:r>
    </w:p>
    <w:p w14:paraId="0CE21964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1. To reduce feed bridging issues, it is recommended that the hopper is split into 2 with a</w:t>
      </w:r>
    </w:p>
    <w:p w14:paraId="58F4BD4F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vertical dividing plate to allow feedstock to be constrained in only one direction and not in</w:t>
      </w:r>
    </w:p>
    <w:p w14:paraId="400F7171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2. Plate can be coated mild steel and suspended off the lid to within 25mm of the top of the</w:t>
      </w:r>
    </w:p>
    <w:p w14:paraId="0C0FA740" w14:textId="48D2B926" w:rsidR="00604E2A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screw flight.</w:t>
      </w:r>
      <w:r w:rsidR="00604E2A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Screw design to be changed to have a screw with a smaller pitch initially of ~150-200mm</w:t>
      </w:r>
      <w:r w:rsidR="00604E2A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maximum and opening up to 200-250mm in the kiln.</w:t>
      </w:r>
    </w:p>
    <w:p w14:paraId="7AC32837" w14:textId="31CB2D1F" w:rsidR="00FD15A8" w:rsidRDefault="006A720B" w:rsidP="00145493">
      <w:pPr>
        <w:spacing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3. Remove the shroud ducting syngas and combusted gases back to the combustion chamber</w:t>
      </w:r>
      <w:r w:rsidR="00604E2A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 xml:space="preserve">at the feed end – there is clearly severe heat damage where an internal fire has led </w:t>
      </w:r>
      <w:r>
        <w:rPr>
          <w:rFonts w:ascii="CIDFont+F2" w:hAnsi="CIDFont+F2" w:cs="CIDFont+F2"/>
          <w:sz w:val="24"/>
          <w:szCs w:val="24"/>
        </w:rPr>
        <w:lastRenderedPageBreak/>
        <w:t>to</w:t>
      </w:r>
      <w:r w:rsidR="00604E2A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significant distortion of the stainless steel.</w:t>
      </w:r>
      <w:r w:rsidR="003A1593">
        <w:rPr>
          <w:rFonts w:ascii="CIDFont+F2" w:hAnsi="CIDFont+F2" w:cs="CIDFont+F2"/>
          <w:sz w:val="24"/>
          <w:szCs w:val="24"/>
        </w:rPr>
        <w:t xml:space="preserve">  This will lead to weld weakening and separation of the metals in the alloys, leading to corrosion.</w:t>
      </w:r>
    </w:p>
    <w:p w14:paraId="5F35E563" w14:textId="0DF9DDDD" w:rsidR="006A720B" w:rsidRDefault="006A720B" w:rsidP="00145493">
      <w:pPr>
        <w:spacing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 Fit a spool piece where the syngas shroud was to increase the operational length of the</w:t>
      </w:r>
      <w:r w:rsidR="0014549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pyrolysis kiln.</w:t>
      </w:r>
    </w:p>
    <w:p w14:paraId="1EEDC2D1" w14:textId="3E1BB19B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5</w:t>
      </w:r>
      <w:r w:rsidR="006A720B">
        <w:rPr>
          <w:rFonts w:ascii="CIDFont+F2" w:hAnsi="CIDFont+F2" w:cs="CIDFont+F2"/>
          <w:sz w:val="24"/>
          <w:szCs w:val="24"/>
        </w:rPr>
        <w:t xml:space="preserve">. Replace the LPG burner with a </w:t>
      </w:r>
      <w:r w:rsidR="003A1593">
        <w:rPr>
          <w:rFonts w:ascii="CIDFont+F2" w:hAnsi="CIDFont+F2" w:cs="CIDFont+F2"/>
          <w:sz w:val="24"/>
          <w:szCs w:val="24"/>
        </w:rPr>
        <w:t xml:space="preserve">proper sealed </w:t>
      </w:r>
      <w:proofErr w:type="spellStart"/>
      <w:r w:rsidR="006A720B">
        <w:rPr>
          <w:rFonts w:ascii="CIDFont+F2" w:hAnsi="CIDFont+F2" w:cs="CIDFont+F2"/>
          <w:sz w:val="24"/>
          <w:szCs w:val="24"/>
        </w:rPr>
        <w:t>Nuway</w:t>
      </w:r>
      <w:proofErr w:type="spellEnd"/>
      <w:r w:rsidR="006A720B">
        <w:rPr>
          <w:rFonts w:ascii="CIDFont+F2" w:hAnsi="CIDFont+F2" w:cs="CIDFont+F2"/>
          <w:sz w:val="24"/>
          <w:szCs w:val="24"/>
        </w:rPr>
        <w:t xml:space="preserve"> SG100 [https://www.nuway.</w:t>
      </w:r>
    </w:p>
    <w:p w14:paraId="22577F8E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co.uk/product/product-53/] or Fives NA LPG burner with high T ceramic nozzle.</w:t>
      </w:r>
    </w:p>
    <w:p w14:paraId="11C523D6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Comply with local gas safety regulations. Check on the gas flow regulator on capacity as</w:t>
      </w:r>
    </w:p>
    <w:p w14:paraId="52FC7387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limited to 4 kg/h.</w:t>
      </w:r>
    </w:p>
    <w:p w14:paraId="39E8D105" w14:textId="248534E7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6</w:t>
      </w:r>
      <w:r w:rsidR="006A720B">
        <w:rPr>
          <w:rFonts w:ascii="CIDFont+F2" w:hAnsi="CIDFont+F2" w:cs="CIDFont+F2"/>
          <w:sz w:val="24"/>
          <w:szCs w:val="24"/>
        </w:rPr>
        <w:t xml:space="preserve">. Approach </w:t>
      </w:r>
      <w:proofErr w:type="spellStart"/>
      <w:r w:rsidR="006A720B">
        <w:rPr>
          <w:rFonts w:ascii="CIDFont+F2" w:hAnsi="CIDFont+F2" w:cs="CIDFont+F2"/>
          <w:sz w:val="24"/>
          <w:szCs w:val="24"/>
        </w:rPr>
        <w:t>Turmec</w:t>
      </w:r>
      <w:proofErr w:type="spellEnd"/>
      <w:r w:rsidR="006A720B">
        <w:rPr>
          <w:rFonts w:ascii="CIDFont+F2" w:hAnsi="CIDFont+F2" w:cs="CIDFont+F2"/>
          <w:sz w:val="24"/>
          <w:szCs w:val="24"/>
        </w:rPr>
        <w:t xml:space="preserve"> for assistance in rectifying the range of mechanical issues.</w:t>
      </w:r>
    </w:p>
    <w:p w14:paraId="33A77187" w14:textId="5299A65C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7</w:t>
      </w:r>
      <w:r w:rsidR="006A720B">
        <w:rPr>
          <w:rFonts w:ascii="CIDFont+F2" w:hAnsi="CIDFont+F2" w:cs="CIDFont+F2"/>
          <w:sz w:val="24"/>
          <w:szCs w:val="24"/>
        </w:rPr>
        <w:t xml:space="preserve">. Cabling should be in </w:t>
      </w:r>
      <w:proofErr w:type="spellStart"/>
      <w:r w:rsidR="006A720B">
        <w:rPr>
          <w:rFonts w:ascii="CIDFont+F2" w:hAnsi="CIDFont+F2" w:cs="CIDFont+F2"/>
          <w:sz w:val="24"/>
          <w:szCs w:val="24"/>
        </w:rPr>
        <w:t>amoured</w:t>
      </w:r>
      <w:proofErr w:type="spellEnd"/>
      <w:r w:rsidR="006A720B">
        <w:rPr>
          <w:rFonts w:ascii="CIDFont+F2" w:hAnsi="CIDFont+F2" w:cs="CIDFont+F2"/>
          <w:sz w:val="24"/>
          <w:szCs w:val="24"/>
        </w:rPr>
        <w:t xml:space="preserve"> metal holders to prevent damage and stop them being</w:t>
      </w:r>
    </w:p>
    <w:p w14:paraId="39BB112C" w14:textId="3661EDEB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stepped or damaged.</w:t>
      </w:r>
      <w:r w:rsidR="003A1593">
        <w:rPr>
          <w:rFonts w:ascii="CIDFont+F2" w:hAnsi="CIDFont+F2" w:cs="CIDFont+F2"/>
          <w:sz w:val="24"/>
          <w:szCs w:val="24"/>
        </w:rPr>
        <w:t xml:space="preserve"> Cable failure could lead to </w:t>
      </w:r>
      <w:proofErr w:type="spellStart"/>
      <w:r w:rsidR="003A1593">
        <w:rPr>
          <w:rFonts w:ascii="CIDFont+F2" w:hAnsi="CIDFont+F2" w:cs="CIDFont+F2"/>
          <w:sz w:val="24"/>
          <w:szCs w:val="24"/>
        </w:rPr>
        <w:t>shutdown</w:t>
      </w:r>
      <w:proofErr w:type="spellEnd"/>
      <w:r w:rsidR="003A1593">
        <w:rPr>
          <w:rFonts w:ascii="CIDFont+F2" w:hAnsi="CIDFont+F2" w:cs="CIDFont+F2"/>
          <w:sz w:val="24"/>
          <w:szCs w:val="24"/>
        </w:rPr>
        <w:t xml:space="preserve"> or non-ATEX issues.</w:t>
      </w:r>
    </w:p>
    <w:p w14:paraId="23E14AFF" w14:textId="47795CCD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8</w:t>
      </w:r>
      <w:r w:rsidR="006A720B">
        <w:rPr>
          <w:rFonts w:ascii="CIDFont+F2" w:hAnsi="CIDFont+F2" w:cs="CIDFont+F2"/>
          <w:sz w:val="24"/>
          <w:szCs w:val="24"/>
        </w:rPr>
        <w:t xml:space="preserve">. Check if ATEX assessment carried out to determine extent of the </w:t>
      </w:r>
      <w:r w:rsidR="003A1593">
        <w:rPr>
          <w:rFonts w:ascii="CIDFont+F2" w:hAnsi="CIDFont+F2" w:cs="CIDFont+F2"/>
          <w:sz w:val="24"/>
          <w:szCs w:val="24"/>
        </w:rPr>
        <w:t xml:space="preserve">hazardous area </w:t>
      </w:r>
      <w:r w:rsidR="006A720B">
        <w:rPr>
          <w:rFonts w:ascii="CIDFont+F2" w:hAnsi="CIDFont+F2" w:cs="CIDFont+F2"/>
          <w:sz w:val="24"/>
          <w:szCs w:val="24"/>
        </w:rPr>
        <w:t>and its boundaries.</w:t>
      </w:r>
    </w:p>
    <w:p w14:paraId="443DFEC3" w14:textId="5715BB66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9</w:t>
      </w:r>
      <w:r w:rsidR="006A720B">
        <w:rPr>
          <w:rFonts w:ascii="CIDFont+F2" w:hAnsi="CIDFont+F2" w:cs="CIDFont+F2"/>
          <w:sz w:val="24"/>
          <w:szCs w:val="24"/>
        </w:rPr>
        <w:t xml:space="preserve">. </w:t>
      </w:r>
      <w:r w:rsidR="00604E2A">
        <w:rPr>
          <w:rFonts w:ascii="CIDFont+F2" w:hAnsi="CIDFont+F2" w:cs="CIDFont+F2"/>
          <w:sz w:val="24"/>
          <w:szCs w:val="24"/>
        </w:rPr>
        <w:t>Overhaul h</w:t>
      </w:r>
      <w:r w:rsidR="006A720B">
        <w:rPr>
          <w:rFonts w:ascii="CIDFont+F2" w:hAnsi="CIDFont+F2" w:cs="CIDFont+F2"/>
          <w:sz w:val="24"/>
          <w:szCs w:val="24"/>
        </w:rPr>
        <w:t>eating of the kiln to switch from heating internally [which no</w:t>
      </w:r>
      <w:r w:rsidR="003A1593">
        <w:rPr>
          <w:rFonts w:ascii="CIDFont+F2" w:hAnsi="CIDFont+F2" w:cs="CIDFont+F2"/>
          <w:sz w:val="24"/>
          <w:szCs w:val="24"/>
        </w:rPr>
        <w:t xml:space="preserve"> other pyrolysis process</w:t>
      </w:r>
      <w:r w:rsidR="001D5CF7">
        <w:rPr>
          <w:rFonts w:ascii="CIDFont+F2" w:hAnsi="CIDFont+F2" w:cs="CIDFont+F2"/>
          <w:sz w:val="24"/>
          <w:szCs w:val="24"/>
        </w:rPr>
        <w:t xml:space="preserve"> </w:t>
      </w:r>
      <w:r w:rsidR="006A720B">
        <w:rPr>
          <w:rFonts w:ascii="CIDFont+F2" w:hAnsi="CIDFont+F2" w:cs="CIDFont+F2"/>
          <w:sz w:val="24"/>
          <w:szCs w:val="24"/>
        </w:rPr>
        <w:t xml:space="preserve">does using hot gases, only electrical heating of the augur as per the </w:t>
      </w:r>
      <w:proofErr w:type="spellStart"/>
      <w:r w:rsidR="006A720B">
        <w:rPr>
          <w:rFonts w:ascii="CIDFont+F2" w:hAnsi="CIDFont+F2" w:cs="CIDFont+F2"/>
          <w:sz w:val="24"/>
          <w:szCs w:val="24"/>
        </w:rPr>
        <w:t>Biogreen</w:t>
      </w:r>
      <w:proofErr w:type="spellEnd"/>
      <w:r w:rsidR="006A720B">
        <w:rPr>
          <w:rFonts w:ascii="CIDFont+F2" w:hAnsi="CIDFont+F2" w:cs="CIDFont+F2"/>
          <w:sz w:val="24"/>
          <w:szCs w:val="24"/>
        </w:rPr>
        <w:t>, France,</w:t>
      </w:r>
    </w:p>
    <w:p w14:paraId="1963614C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process] to heating the kiln tube externally, i.e., by the use of electrical heaters [Sandvik</w:t>
      </w:r>
    </w:p>
    <w:p w14:paraId="14986E03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proofErr w:type="spellStart"/>
      <w:r>
        <w:rPr>
          <w:rFonts w:ascii="CIDFont+F2" w:hAnsi="CIDFont+F2" w:cs="CIDFont+F2"/>
          <w:sz w:val="24"/>
          <w:szCs w:val="24"/>
        </w:rPr>
        <w:t>Kanthal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</w:rPr>
        <w:t>Fibrothal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electrical heating elements], gas heating [burners underneath the kiln],</w:t>
      </w:r>
    </w:p>
    <w:p w14:paraId="36C134EB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or by use of the combusted syngas through an annulus constructed around the kiln tube and</w:t>
      </w:r>
    </w:p>
    <w:p w14:paraId="2D17EE51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properly sealed and ceramic fibre board lined.</w:t>
      </w:r>
    </w:p>
    <w:p w14:paraId="0A1E7631" w14:textId="59A265E3" w:rsidR="006A720B" w:rsidRDefault="006D7244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10</w:t>
      </w:r>
      <w:r w:rsidR="006A720B">
        <w:rPr>
          <w:rFonts w:ascii="CIDFont+F2" w:hAnsi="CIDFont+F2" w:cs="CIDFont+F2"/>
          <w:sz w:val="24"/>
          <w:szCs w:val="24"/>
        </w:rPr>
        <w:t>. Remove the gas valve at the end of the kiln and duct the syngas back over the kiln to the</w:t>
      </w:r>
    </w:p>
    <w:p w14:paraId="4DA8E455" w14:textId="77777777" w:rsidR="006A720B" w:rsidRDefault="006A720B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combustor inlet.</w:t>
      </w:r>
    </w:p>
    <w:p w14:paraId="1BE969FB" w14:textId="7A01C9B9" w:rsidR="006A720B" w:rsidRDefault="006A720B" w:rsidP="00893626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1</w:t>
      </w:r>
      <w:r w:rsidR="00145493">
        <w:rPr>
          <w:rFonts w:ascii="CIDFont+F2" w:hAnsi="CIDFont+F2" w:cs="CIDFont+F2"/>
          <w:sz w:val="24"/>
          <w:szCs w:val="24"/>
        </w:rPr>
        <w:t>1</w:t>
      </w:r>
      <w:r>
        <w:rPr>
          <w:rFonts w:ascii="CIDFont+F2" w:hAnsi="CIDFont+F2" w:cs="CIDFont+F2"/>
          <w:sz w:val="24"/>
          <w:szCs w:val="24"/>
        </w:rPr>
        <w:t xml:space="preserve">. Compliance with Irish Health and Safety legislation. </w:t>
      </w:r>
      <w:bookmarkStart w:id="0" w:name="_GoBack"/>
      <w:bookmarkEnd w:id="0"/>
    </w:p>
    <w:p w14:paraId="5BF4F6D0" w14:textId="77777777" w:rsidR="006A720B" w:rsidRDefault="006A720B" w:rsidP="006A720B">
      <w:pPr>
        <w:rPr>
          <w:rFonts w:ascii="CIDFont+F2" w:hAnsi="CIDFont+F2" w:cs="CIDFont+F2"/>
          <w:sz w:val="24"/>
          <w:szCs w:val="24"/>
        </w:rPr>
      </w:pPr>
    </w:p>
    <w:p w14:paraId="095A7775" w14:textId="77777777" w:rsidR="006A720B" w:rsidRDefault="006A720B" w:rsidP="006A720B">
      <w:pPr>
        <w:rPr>
          <w:rFonts w:ascii="CIDFont+F2" w:hAnsi="CIDFont+F2" w:cs="CIDFont+F2"/>
          <w:sz w:val="24"/>
          <w:szCs w:val="24"/>
        </w:rPr>
      </w:pPr>
    </w:p>
    <w:p w14:paraId="0E8C9112" w14:textId="0DDA38CD" w:rsidR="006A720B" w:rsidRDefault="00FD15A8" w:rsidP="006A72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2.4 </w:t>
      </w:r>
      <w:r w:rsidR="006D7244" w:rsidRPr="006D7244">
        <w:rPr>
          <w:b/>
          <w:bCs/>
          <w:sz w:val="32"/>
          <w:szCs w:val="32"/>
        </w:rPr>
        <w:t>Safety recommendations</w:t>
      </w:r>
    </w:p>
    <w:p w14:paraId="01EB2B0C" w14:textId="492A58FE" w:rsidR="006D7244" w:rsidRPr="006D7244" w:rsidRDefault="006D7244" w:rsidP="001454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>Safety mesh should be provided to prevent items being dropped into the feed screw</w:t>
      </w:r>
      <w:r w:rsidR="003A1593">
        <w:rPr>
          <w:rFonts w:ascii="CIDFont+F2" w:hAnsi="CIDFont+F2" w:cs="CIDFont+F2"/>
          <w:sz w:val="24"/>
          <w:szCs w:val="24"/>
        </w:rPr>
        <w:t xml:space="preserve"> and prevent personnel injury</w:t>
      </w:r>
      <w:r w:rsidRPr="006D7244">
        <w:rPr>
          <w:rFonts w:ascii="CIDFont+F2" w:hAnsi="CIDFont+F2" w:cs="CIDFont+F2"/>
          <w:sz w:val="24"/>
          <w:szCs w:val="24"/>
        </w:rPr>
        <w:t>.</w:t>
      </w:r>
    </w:p>
    <w:p w14:paraId="12FE1C66" w14:textId="34504C6D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 xml:space="preserve"> Temperature measurement should be provided in the feed hopper in case of fire.</w:t>
      </w:r>
    </w:p>
    <w:p w14:paraId="14227014" w14:textId="17D21D53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b/>
          <w:bCs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lastRenderedPageBreak/>
        <w:t xml:space="preserve"> Guard rails should be </w:t>
      </w:r>
      <w:proofErr w:type="gramStart"/>
      <w:r w:rsidRPr="006D7244">
        <w:rPr>
          <w:rFonts w:ascii="CIDFont+F2" w:hAnsi="CIDFont+F2" w:cs="CIDFont+F2"/>
          <w:sz w:val="24"/>
          <w:szCs w:val="24"/>
        </w:rPr>
        <w:t>provide</w:t>
      </w:r>
      <w:proofErr w:type="gramEnd"/>
      <w:r w:rsidRPr="006D7244">
        <w:rPr>
          <w:rFonts w:ascii="CIDFont+F2" w:hAnsi="CIDFont+F2" w:cs="CIDFont+F2"/>
          <w:sz w:val="24"/>
          <w:szCs w:val="24"/>
        </w:rPr>
        <w:t xml:space="preserve"> to prevent users of the equipment from falling off the trailer. Mounts should be fitted to allow rails and guards to be added to prevent persons climbing onto the unit.</w:t>
      </w:r>
      <w:r w:rsidR="003A1593">
        <w:rPr>
          <w:rFonts w:ascii="CIDFont+F2" w:hAnsi="CIDFont+F2" w:cs="CIDFont+F2"/>
          <w:sz w:val="24"/>
          <w:szCs w:val="24"/>
        </w:rPr>
        <w:t xml:space="preserve"> </w:t>
      </w:r>
      <w:r w:rsidRPr="006D7244">
        <w:rPr>
          <w:rFonts w:ascii="CIDFont+F2" w:hAnsi="CIDFont+F2" w:cs="CIDFont+F2"/>
          <w:sz w:val="24"/>
          <w:szCs w:val="24"/>
        </w:rPr>
        <w:t xml:space="preserve"> Access to unit should be restricted to avoid entering the hazardous area [ATEX Zone 2/22].</w:t>
      </w:r>
    </w:p>
    <w:p w14:paraId="4C844173" w14:textId="1D25F69F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>CE marking or certificate to confirm statutory or regulatory compliance to be provided.</w:t>
      </w:r>
    </w:p>
    <w:p w14:paraId="5976EAD3" w14:textId="50600B7D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 xml:space="preserve"> ATEX compliance, certificates and defined hazardous area for classification into Zone 2/22 should be provided.</w:t>
      </w:r>
    </w:p>
    <w:p w14:paraId="429398F3" w14:textId="77777777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>5. Buy an N</w:t>
      </w:r>
      <w:r w:rsidRPr="006D7244">
        <w:rPr>
          <w:rFonts w:ascii="CIDFont+F2" w:hAnsi="CIDFont+F2" w:cs="CIDFont+F2"/>
          <w:sz w:val="16"/>
          <w:szCs w:val="16"/>
        </w:rPr>
        <w:t xml:space="preserve">2 </w:t>
      </w:r>
      <w:r w:rsidRPr="006D7244">
        <w:rPr>
          <w:rFonts w:ascii="CIDFont+F2" w:hAnsi="CIDFont+F2" w:cs="CIDFont+F2"/>
          <w:sz w:val="24"/>
          <w:szCs w:val="24"/>
        </w:rPr>
        <w:t>regulator, N</w:t>
      </w:r>
      <w:r w:rsidRPr="006D7244">
        <w:rPr>
          <w:rFonts w:ascii="CIDFont+F2" w:hAnsi="CIDFont+F2" w:cs="CIDFont+F2"/>
          <w:sz w:val="16"/>
          <w:szCs w:val="16"/>
        </w:rPr>
        <w:t xml:space="preserve">2 </w:t>
      </w:r>
      <w:r w:rsidRPr="006D7244">
        <w:rPr>
          <w:rFonts w:ascii="CIDFont+F2" w:hAnsi="CIDFont+F2" w:cs="CIDFont+F2"/>
          <w:sz w:val="24"/>
          <w:szCs w:val="24"/>
        </w:rPr>
        <w:t>bottle, flowmeter with integral needle valve and a pressure gauge.</w:t>
      </w:r>
    </w:p>
    <w:p w14:paraId="335F8628" w14:textId="77777777" w:rsidR="006D7244" w:rsidRP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 xml:space="preserve">Flow to the feed hopper to allow </w:t>
      </w:r>
      <w:proofErr w:type="spellStart"/>
      <w:r w:rsidRPr="006D7244">
        <w:rPr>
          <w:rFonts w:ascii="CIDFont+F2" w:hAnsi="CIDFont+F2" w:cs="CIDFont+F2"/>
          <w:sz w:val="24"/>
          <w:szCs w:val="24"/>
        </w:rPr>
        <w:t>inerting</w:t>
      </w:r>
      <w:proofErr w:type="spellEnd"/>
      <w:r w:rsidRPr="006D7244">
        <w:rPr>
          <w:rFonts w:ascii="CIDFont+F2" w:hAnsi="CIDFont+F2" w:cs="CIDFont+F2"/>
          <w:sz w:val="24"/>
          <w:szCs w:val="24"/>
        </w:rPr>
        <w:t xml:space="preserve"> to prevent fires and improve safety.</w:t>
      </w:r>
    </w:p>
    <w:p w14:paraId="11DF0E2F" w14:textId="72BBA49C" w:rsidR="006D7244" w:rsidRDefault="006D7244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6D7244">
        <w:rPr>
          <w:rFonts w:ascii="CIDFont+F2" w:hAnsi="CIDFont+F2" w:cs="CIDFont+F2"/>
          <w:sz w:val="24"/>
          <w:szCs w:val="24"/>
        </w:rPr>
        <w:t>Control cabinet should be ATEX compliant and ask for certification.</w:t>
      </w:r>
    </w:p>
    <w:p w14:paraId="2AF667A6" w14:textId="328DE53A" w:rsidR="00145493" w:rsidRDefault="00145493" w:rsidP="003A1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 w:rsidRPr="00145493">
        <w:rPr>
          <w:rFonts w:ascii="CIDFont+F2" w:hAnsi="CIDFont+F2" w:cs="CIDFont+F2"/>
          <w:sz w:val="24"/>
          <w:szCs w:val="24"/>
        </w:rPr>
        <w:t>Provision of CO</w:t>
      </w:r>
      <w:r w:rsidRPr="00145493">
        <w:rPr>
          <w:rFonts w:ascii="CIDFont+F2" w:hAnsi="CIDFont+F2" w:cs="CIDFont+F2"/>
          <w:sz w:val="16"/>
          <w:szCs w:val="16"/>
        </w:rPr>
        <w:t xml:space="preserve">2 </w:t>
      </w:r>
      <w:r w:rsidRPr="00145493">
        <w:rPr>
          <w:rFonts w:ascii="CIDFont+F2" w:hAnsi="CIDFont+F2" w:cs="CIDFont+F2"/>
          <w:sz w:val="24"/>
          <w:szCs w:val="24"/>
        </w:rPr>
        <w:t>fire extinguishers in the event of a fire and all plant users trained in their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145493">
        <w:rPr>
          <w:rFonts w:ascii="CIDFont+F2" w:hAnsi="CIDFont+F2" w:cs="CIDFont+F2"/>
          <w:sz w:val="24"/>
          <w:szCs w:val="24"/>
        </w:rPr>
        <w:t>use [avoidance of frost injuries from nozzle, etc.]</w:t>
      </w:r>
    </w:p>
    <w:p w14:paraId="089FB325" w14:textId="79861DCA" w:rsidR="003A1593" w:rsidRPr="00145493" w:rsidRDefault="003A1593" w:rsidP="003F1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Passive CO monitoring in the ATEX zone.</w:t>
      </w:r>
    </w:p>
    <w:p w14:paraId="38A08BA2" w14:textId="77777777" w:rsidR="00145493" w:rsidRPr="00145493" w:rsidRDefault="00145493" w:rsidP="0014549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1E15FB23" w14:textId="0CCE2AD4" w:rsidR="006D7244" w:rsidRDefault="006D7244" w:rsidP="00145493">
      <w:pPr>
        <w:spacing w:line="360" w:lineRule="auto"/>
        <w:rPr>
          <w:b/>
          <w:bCs/>
          <w:sz w:val="32"/>
          <w:szCs w:val="32"/>
        </w:rPr>
      </w:pPr>
    </w:p>
    <w:p w14:paraId="4AC40E63" w14:textId="77777777" w:rsidR="00FD15A8" w:rsidRPr="006D7244" w:rsidRDefault="00FD15A8" w:rsidP="006A720B">
      <w:pPr>
        <w:rPr>
          <w:b/>
          <w:bCs/>
          <w:sz w:val="32"/>
          <w:szCs w:val="32"/>
        </w:rPr>
      </w:pPr>
    </w:p>
    <w:sectPr w:rsidR="00FD15A8" w:rsidRPr="006D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4A7"/>
    <w:multiLevelType w:val="hybridMultilevel"/>
    <w:tmpl w:val="751E6E6E"/>
    <w:lvl w:ilvl="0" w:tplc="066E1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B6D4D2F"/>
    <w:multiLevelType w:val="multilevel"/>
    <w:tmpl w:val="951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peacocke">
    <w15:presenceInfo w15:providerId="None" w15:userId="cpeacoc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B"/>
    <w:rsid w:val="00022C79"/>
    <w:rsid w:val="00145493"/>
    <w:rsid w:val="001D5CF7"/>
    <w:rsid w:val="003A1593"/>
    <w:rsid w:val="003F149B"/>
    <w:rsid w:val="003F393E"/>
    <w:rsid w:val="004B5539"/>
    <w:rsid w:val="005C1745"/>
    <w:rsid w:val="005C5B8C"/>
    <w:rsid w:val="00604E2A"/>
    <w:rsid w:val="006A720B"/>
    <w:rsid w:val="006D7244"/>
    <w:rsid w:val="00893626"/>
    <w:rsid w:val="00A01F20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</cp:lastModifiedBy>
  <cp:revision>4</cp:revision>
  <dcterms:created xsi:type="dcterms:W3CDTF">2022-12-29T15:05:00Z</dcterms:created>
  <dcterms:modified xsi:type="dcterms:W3CDTF">2022-12-30T12:17:00Z</dcterms:modified>
</cp:coreProperties>
</file>